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hint="eastAsia" w:ascii="微软雅黑" w:hAnsi="微软雅黑" w:eastAsia="微软雅黑"/>
          <w:b/>
          <w:color w:val="C00000"/>
          <w:sz w:val="44"/>
          <w:szCs w:val="44"/>
          <w:lang w:val="en-US" w:eastAsia="zh-CN"/>
        </w:rPr>
      </w:pPr>
    </w:p>
    <w:p>
      <w:pPr>
        <w:adjustRightInd w:val="0"/>
        <w:snapToGrid w:val="0"/>
        <w:jc w:val="both"/>
        <w:rPr>
          <w:rFonts w:hint="eastAsia" w:ascii="微软雅黑" w:hAnsi="微软雅黑" w:eastAsia="微软雅黑"/>
          <w:b/>
          <w:color w:val="C00000"/>
          <w:sz w:val="44"/>
          <w:szCs w:val="44"/>
          <w:lang w:val="en-US" w:eastAsia="zh-CN"/>
        </w:rPr>
      </w:pPr>
      <w:bookmarkStart w:id="0" w:name="_GoBack"/>
      <w:bookmarkEnd w:id="0"/>
    </w:p>
    <w:p>
      <w:pPr>
        <w:adjustRightInd w:val="0"/>
        <w:snapToGrid w:val="0"/>
        <w:jc w:val="center"/>
        <w:rPr>
          <w:rFonts w:ascii="微软雅黑" w:hAnsi="微软雅黑" w:eastAsia="微软雅黑"/>
          <w:b/>
          <w:color w:val="843C0B" w:themeColor="accen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843C0B" w:themeColor="accent2" w:themeShade="80"/>
          <w:sz w:val="44"/>
          <w:szCs w:val="44"/>
          <w:lang w:val="en-US" w:eastAsia="zh-CN"/>
        </w:rPr>
        <w:t>爱得智慧</w:t>
      </w:r>
      <w:r>
        <w:rPr>
          <w:rFonts w:hint="eastAsia" w:ascii="微软雅黑" w:hAnsi="微软雅黑" w:eastAsia="微软雅黑"/>
          <w:b/>
          <w:color w:val="843C0B" w:themeColor="accent2" w:themeShade="80"/>
          <w:sz w:val="44"/>
          <w:szCs w:val="44"/>
        </w:rPr>
        <w:t>物业</w:t>
      </w:r>
      <w:r>
        <w:rPr>
          <w:rFonts w:hint="eastAsia" w:ascii="微软雅黑" w:hAnsi="微软雅黑" w:eastAsia="微软雅黑"/>
          <w:b/>
          <w:color w:val="843C0B" w:themeColor="accent2" w:themeShade="80"/>
          <w:sz w:val="44"/>
          <w:szCs w:val="44"/>
          <w:lang w:val="en-US" w:eastAsia="zh-CN"/>
        </w:rPr>
        <w:t>系统</w:t>
      </w:r>
      <w:r>
        <w:rPr>
          <w:rFonts w:hint="eastAsia" w:ascii="微软雅黑" w:hAnsi="微软雅黑" w:eastAsia="微软雅黑"/>
          <w:b/>
          <w:color w:val="843C0B" w:themeColor="accent2" w:themeShade="80"/>
          <w:sz w:val="44"/>
          <w:szCs w:val="44"/>
        </w:rPr>
        <w:t>管理平台</w:t>
      </w:r>
    </w:p>
    <w:p>
      <w:pPr>
        <w:adjustRightInd w:val="0"/>
        <w:snapToGrid w:val="0"/>
        <w:jc w:val="center"/>
        <w:rPr>
          <w:rFonts w:hint="eastAsia" w:ascii="微软雅黑" w:hAnsi="微软雅黑" w:eastAsia="微软雅黑"/>
          <w:b/>
          <w:color w:val="843C0B" w:themeColor="accen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843C0B" w:themeColor="accent2" w:themeShade="80"/>
          <w:sz w:val="44"/>
          <w:szCs w:val="44"/>
        </w:rPr>
        <w:t>使用说明</w:t>
      </w:r>
    </w:p>
    <w:p>
      <w:pPr>
        <w:adjustRightInd w:val="0"/>
        <w:snapToGrid w:val="0"/>
        <w:jc w:val="center"/>
        <w:rPr>
          <w:rFonts w:hint="eastAsia" w:ascii="微软雅黑" w:hAnsi="微软雅黑" w:eastAsia="微软雅黑"/>
          <w:b/>
          <w:color w:val="843C0B" w:themeColor="accent2" w:themeShade="80"/>
          <w:sz w:val="44"/>
          <w:szCs w:val="44"/>
        </w:rPr>
      </w:pPr>
    </w:p>
    <w:p>
      <w:pPr>
        <w:adjustRightInd w:val="0"/>
        <w:snapToGrid w:val="0"/>
        <w:jc w:val="center"/>
        <w:rPr>
          <w:rFonts w:ascii="微软雅黑" w:hAnsi="微软雅黑" w:eastAsia="微软雅黑"/>
          <w:b/>
          <w:color w:val="843C0B" w:themeColor="accent2" w:themeShade="80"/>
          <w:sz w:val="44"/>
          <w:szCs w:val="44"/>
        </w:rPr>
      </w:pPr>
      <w:r>
        <w:rPr>
          <w:rFonts w:hint="eastAsia" w:ascii="微软雅黑" w:hAnsi="微软雅黑" w:eastAsia="微软雅黑"/>
          <w:b/>
          <w:color w:val="843C0B" w:themeColor="accent2" w:themeShade="80"/>
          <w:sz w:val="28"/>
          <w:szCs w:val="28"/>
          <w:lang w:val="en-US" w:eastAsia="zh-CN"/>
        </w:rPr>
        <w:t>（管理员后台-电脑端）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843C0B" w:themeColor="accent2" w:themeShade="80"/>
          <w:sz w:val="44"/>
          <w:szCs w:val="44"/>
        </w:rPr>
      </w:pPr>
    </w:p>
    <w:p>
      <w:pPr>
        <w:adjustRightInd w:val="0"/>
        <w:snapToGrid w:val="0"/>
        <w:rPr>
          <w:rFonts w:ascii="微软雅黑" w:hAnsi="微软雅黑" w:eastAsia="微软雅黑"/>
          <w:b/>
          <w:color w:val="843C0B" w:themeColor="accent2" w:themeShade="80"/>
          <w:sz w:val="44"/>
          <w:szCs w:val="44"/>
        </w:rPr>
      </w:pPr>
    </w:p>
    <w:p>
      <w:pPr>
        <w:adjustRightInd w:val="0"/>
        <w:snapToGrid w:val="0"/>
        <w:rPr>
          <w:rFonts w:ascii="微软雅黑" w:hAnsi="微软雅黑" w:eastAsia="微软雅黑"/>
          <w:b/>
          <w:color w:val="843C0B" w:themeColor="accent2" w:themeShade="80"/>
          <w:sz w:val="44"/>
          <w:szCs w:val="44"/>
        </w:rPr>
      </w:pPr>
    </w:p>
    <w:p>
      <w:pPr>
        <w:adjustRightInd w:val="0"/>
        <w:snapToGrid w:val="0"/>
        <w:jc w:val="center"/>
        <w:rPr>
          <w:rFonts w:ascii="微软雅黑" w:hAnsi="微软雅黑" w:eastAsia="微软雅黑"/>
          <w:b/>
          <w:color w:val="843C0B" w:themeColor="accent2" w:themeShade="80"/>
          <w:sz w:val="30"/>
          <w:szCs w:val="30"/>
        </w:rPr>
      </w:pPr>
    </w:p>
    <w:p>
      <w:pPr>
        <w:pStyle w:val="12"/>
        <w:adjustRightInd w:val="0"/>
        <w:snapToGrid w:val="0"/>
        <w:ind w:left="103" w:firstLine="0" w:firstLineChars="0"/>
        <w:jc w:val="center"/>
        <w:rPr>
          <w:rFonts w:ascii="微软雅黑" w:hAnsi="微软雅黑" w:eastAsia="微软雅黑"/>
          <w:b/>
          <w:color w:val="843C0B" w:themeColor="accent2" w:themeShade="80"/>
          <w:sz w:val="30"/>
          <w:szCs w:val="30"/>
        </w:rPr>
      </w:pPr>
      <w:r>
        <w:rPr>
          <w:color w:val="843C0B" w:themeColor="accent2" w:themeShade="80"/>
        </w:rPr>
        <w:fldChar w:fldCharType="begin"/>
      </w:r>
      <w:r>
        <w:rPr>
          <w:color w:val="843C0B" w:themeColor="accent2" w:themeShade="80"/>
        </w:rPr>
        <w:instrText xml:space="preserve"> HYPERLINK \l "（1）微信授权" </w:instrText>
      </w:r>
      <w:r>
        <w:rPr>
          <w:color w:val="843C0B" w:themeColor="accent2" w:themeShade="80"/>
        </w:rPr>
        <w:fldChar w:fldCharType="separate"/>
      </w:r>
      <w:r>
        <w:rPr>
          <w:rStyle w:val="10"/>
          <w:rFonts w:hint="eastAsia" w:ascii="微软雅黑" w:hAnsi="微软雅黑" w:eastAsia="微软雅黑"/>
          <w:b/>
          <w:color w:val="843C0B" w:themeColor="accent2" w:themeShade="80"/>
          <w:sz w:val="30"/>
          <w:szCs w:val="30"/>
          <w:u w:val="none"/>
        </w:rPr>
        <w:t>请关注</w:t>
      </w:r>
      <w:r>
        <w:rPr>
          <w:rStyle w:val="10"/>
          <w:rFonts w:hint="eastAsia" w:ascii="微软雅黑" w:hAnsi="微软雅黑" w:eastAsia="微软雅黑"/>
          <w:b/>
          <w:color w:val="843C0B" w:themeColor="accent2" w:themeShade="80"/>
          <w:sz w:val="30"/>
          <w:szCs w:val="30"/>
          <w:u w:val="none"/>
          <w:lang w:val="en-US" w:eastAsia="zh-CN"/>
        </w:rPr>
        <w:t>爱得智慧</w:t>
      </w:r>
      <w:r>
        <w:rPr>
          <w:rStyle w:val="10"/>
          <w:rFonts w:hint="eastAsia" w:ascii="微软雅黑" w:hAnsi="微软雅黑" w:eastAsia="微软雅黑"/>
          <w:b/>
          <w:color w:val="843C0B" w:themeColor="accent2" w:themeShade="80"/>
          <w:sz w:val="30"/>
          <w:szCs w:val="30"/>
          <w:u w:val="none"/>
        </w:rPr>
        <w:t>物业公众号</w:t>
      </w:r>
      <w:r>
        <w:rPr>
          <w:rStyle w:val="10"/>
          <w:rFonts w:hint="eastAsia" w:ascii="微软雅黑" w:hAnsi="微软雅黑" w:eastAsia="微软雅黑"/>
          <w:b/>
          <w:color w:val="843C0B" w:themeColor="accent2" w:themeShade="80"/>
          <w:sz w:val="30"/>
          <w:szCs w:val="30"/>
          <w:u w:val="none"/>
        </w:rPr>
        <w:fldChar w:fldCharType="end"/>
      </w:r>
    </w:p>
    <w:p>
      <w:pPr>
        <w:adjustRightInd w:val="0"/>
        <w:snapToGrid w:val="0"/>
        <w:jc w:val="left"/>
        <w:rPr>
          <w:rFonts w:ascii="微软雅黑" w:hAnsi="微软雅黑" w:eastAsia="微软雅黑"/>
          <w:b/>
          <w:color w:val="0033CC"/>
          <w:szCs w:val="21"/>
        </w:rPr>
      </w:pPr>
    </w:p>
    <w:p>
      <w:pPr>
        <w:adjustRightInd w:val="0"/>
        <w:snapToGrid w:val="0"/>
        <w:jc w:val="center"/>
        <w:rPr>
          <w:rFonts w:hint="eastAsia" w:ascii="微软雅黑" w:hAnsi="微软雅黑" w:eastAsia="微软雅黑"/>
          <w:b/>
          <w:color w:val="0033CC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0033CC"/>
          <w:szCs w:val="21"/>
          <w:lang w:eastAsia="zh-CN"/>
        </w:rPr>
        <w:drawing>
          <wp:inline distT="0" distB="0" distL="114300" distR="114300">
            <wp:extent cx="1839595" cy="1839595"/>
            <wp:effectExtent l="0" t="0" r="8255" b="8255"/>
            <wp:docPr id="20" name="图片 20" descr="爱得智慧物业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爱得智慧物业公众号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6"/>
        <w:rPr>
          <w:rFonts w:hint="eastAsia"/>
          <w:lang w:val="en-US" w:eastAsia="zh-CN"/>
        </w:rPr>
      </w:pPr>
    </w:p>
    <w:p>
      <w:pPr>
        <w:pStyle w:val="6"/>
        <w:rPr>
          <w:rFonts w:hint="eastAsia"/>
          <w:lang w:val="en-US" w:eastAsia="zh-CN"/>
        </w:rPr>
      </w:pPr>
    </w:p>
    <w:p>
      <w:pPr>
        <w:rPr>
          <w:rStyle w:val="9"/>
        </w:rPr>
      </w:pPr>
    </w:p>
    <w:p>
      <w:pPr>
        <w:rPr>
          <w:rStyle w:val="9"/>
        </w:rPr>
      </w:pPr>
    </w:p>
    <w:p>
      <w:pPr>
        <w:rPr>
          <w:rStyle w:val="9"/>
        </w:rPr>
      </w:pPr>
      <w:r>
        <w:rPr>
          <w:rStyle w:val="9"/>
        </w:rPr>
        <w:t>一、登录</w:t>
      </w:r>
    </w:p>
    <w:p>
      <w:r>
        <w:tab/>
      </w:r>
      <w:r>
        <w:t>总管理员和</w:t>
      </w:r>
      <w:r>
        <w:rPr>
          <w:rFonts w:hint="eastAsia"/>
        </w:rPr>
        <w:t>物业公司管理员</w:t>
      </w:r>
      <w:r>
        <w:t>使用同一个登录入口，</w:t>
      </w:r>
      <w:r>
        <w:rPr>
          <w:rFonts w:hint="eastAsia"/>
          <w:lang w:val="en-US" w:eastAsia="zh-CN"/>
        </w:rPr>
        <w:t>再</w:t>
      </w:r>
      <w:r>
        <w:t>输入用户名和密码提交登录</w:t>
      </w:r>
    </w:p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后台入口：</w:t>
      </w:r>
      <w:r>
        <w:rPr>
          <w:rFonts w:hint="eastAsia"/>
          <w:b/>
          <w:bCs/>
          <w:sz w:val="24"/>
          <w:szCs w:val="24"/>
        </w:rPr>
        <w:t>https://adzhwy.advery.net/manage</w:t>
      </w:r>
    </w:p>
    <w:p>
      <w:pPr>
        <w:jc w:val="center"/>
      </w:pPr>
      <w:r>
        <w:drawing>
          <wp:inline distT="0" distB="0" distL="114300" distR="114300">
            <wp:extent cx="3582035" cy="2240915"/>
            <wp:effectExtent l="0" t="0" r="14605" b="146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9"/>
        </w:rPr>
      </w:pPr>
      <w:r>
        <w:rPr>
          <w:rStyle w:val="9"/>
        </w:rPr>
        <w:t>二、管理员</w:t>
      </w:r>
    </w:p>
    <w:p>
      <w:r>
        <w:tab/>
      </w:r>
      <w:r>
        <w:t>1、管理员具有所有权限</w:t>
      </w:r>
    </w:p>
    <w:p>
      <w:r>
        <w:tab/>
      </w:r>
      <w:r>
        <w:t>2、主要工作为</w:t>
      </w:r>
      <w:r>
        <w:rPr>
          <w:rFonts w:hint="eastAsia"/>
        </w:rPr>
        <w:t>下级管理员（保安部、工程部等），赋予有限后台操作权限</w:t>
      </w:r>
    </w:p>
    <w:p>
      <w:pPr>
        <w:rPr>
          <w:rStyle w:val="9"/>
        </w:rPr>
      </w:pPr>
      <w:r>
        <w:rPr>
          <w:rStyle w:val="9"/>
        </w:rPr>
        <w:t>三、操作按钮</w:t>
      </w:r>
    </w:p>
    <w:p>
      <w:r>
        <w:tab/>
      </w:r>
      <w:r>
        <w:drawing>
          <wp:inline distT="0" distB="0" distL="0" distR="0">
            <wp:extent cx="962025" cy="333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t>分别对应：查看详情、修改、删除</w:t>
      </w:r>
    </w:p>
    <w:p>
      <w:pPr>
        <w:numPr>
          <w:ilvl w:val="0"/>
          <w:numId w:val="1"/>
        </w:numPr>
        <w:rPr>
          <w:rStyle w:val="9"/>
        </w:rPr>
      </w:pPr>
      <w:r>
        <w:rPr>
          <w:rStyle w:val="9"/>
        </w:rPr>
        <w:t>角色管理，角色设为多个，目前</w:t>
      </w:r>
      <w:r>
        <w:rPr>
          <w:rStyle w:val="9"/>
          <w:rFonts w:hint="eastAsia"/>
        </w:rPr>
        <w:t>临时</w:t>
      </w:r>
      <w:r>
        <w:rPr>
          <w:rStyle w:val="9"/>
        </w:rPr>
        <w:t>设置了</w:t>
      </w:r>
      <w:r>
        <w:rPr>
          <w:rStyle w:val="9"/>
          <w:rFonts w:hint="eastAsia"/>
        </w:rPr>
        <w:t>工程部</w:t>
      </w:r>
      <w:r>
        <w:rPr>
          <w:rStyle w:val="9"/>
        </w:rPr>
        <w:t>角色</w:t>
      </w:r>
    </w:p>
    <w:p>
      <w:pPr>
        <w:rPr>
          <w:rStyle w:val="9"/>
        </w:rPr>
      </w:pPr>
      <w:r>
        <w:drawing>
          <wp:inline distT="0" distB="0" distL="114300" distR="114300">
            <wp:extent cx="6105525" cy="4310380"/>
            <wp:effectExtent l="0" t="0" r="5715" b="254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583680" cy="3436620"/>
            <wp:effectExtent l="0" t="0" r="0" b="762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点击【修改】按钮可对该角色进行权限修改操作</w:t>
      </w:r>
    </w:p>
    <w:p>
      <w:r>
        <w:drawing>
          <wp:inline distT="0" distB="0" distL="114300" distR="114300">
            <wp:extent cx="6642735" cy="2499360"/>
            <wp:effectExtent l="0" t="0" r="1905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右侧“相关权限”列出了后台系统涉及的所有权限，可根据需要进行修改</w:t>
      </w:r>
    </w:p>
    <w:p>
      <w:pPr>
        <w:rPr>
          <w:rStyle w:val="9"/>
        </w:rPr>
      </w:pPr>
      <w:r>
        <w:rPr>
          <w:rStyle w:val="9"/>
          <w:rFonts w:hint="eastAsia"/>
        </w:rPr>
        <w:t>五、工程部注册，注册后该工程部可用注册的用户名登录操作</w:t>
      </w:r>
    </w:p>
    <w:p>
      <w:r>
        <w:rPr>
          <w:rFonts w:hint="eastAsia"/>
        </w:rPr>
        <w:t>入口：</w:t>
      </w:r>
    </w:p>
    <w:p>
      <w:r>
        <w:drawing>
          <wp:inline distT="0" distB="0" distL="114300" distR="114300">
            <wp:extent cx="6643370" cy="2027555"/>
            <wp:effectExtent l="0" t="0" r="1270" b="1460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Style w:val="9"/>
          <w:rFonts w:hint="eastAsia"/>
        </w:rPr>
        <w:t>六、业主注册：小区业主注册身份审核</w:t>
      </w:r>
      <w:r>
        <w:drawing>
          <wp:inline distT="0" distB="0" distL="114300" distR="114300">
            <wp:extent cx="6640195" cy="1895475"/>
            <wp:effectExtent l="0" t="0" r="4445" b="952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小区业主在小程序注册并提交申请后，会显示在此列表中</w:t>
      </w:r>
    </w:p>
    <w:p>
      <w:r>
        <w:t>如果核实该申请的用户不是</w:t>
      </w:r>
      <w:r>
        <w:rPr>
          <w:rFonts w:hint="eastAsia"/>
        </w:rPr>
        <w:t>业主</w:t>
      </w:r>
      <w:r>
        <w:t>，删除此条记录即可</w:t>
      </w:r>
    </w:p>
    <w:p>
      <w:pPr>
        <w:rPr>
          <w:b/>
          <w:bCs/>
        </w:rPr>
      </w:pPr>
      <w:r>
        <w:rPr>
          <w:rFonts w:hint="eastAsia"/>
          <w:b/>
          <w:bCs/>
        </w:rPr>
        <w:t>七、业主资料更新：点击右侧修改按键，可以对业主资料进行修改更新</w:t>
      </w:r>
    </w:p>
    <w:p>
      <w:r>
        <w:drawing>
          <wp:inline distT="0" distB="0" distL="114300" distR="114300">
            <wp:extent cx="5139055" cy="3030855"/>
            <wp:effectExtent l="0" t="0" r="12065" b="190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八、报修工单及进度查看</w:t>
      </w:r>
    </w:p>
    <w:p>
      <w:r>
        <w:drawing>
          <wp:inline distT="0" distB="0" distL="114300" distR="114300">
            <wp:extent cx="6644640" cy="1522730"/>
            <wp:effectExtent l="0" t="0" r="0" b="127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640195" cy="2657475"/>
            <wp:effectExtent l="0" t="0" r="4445" b="952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物业人员管理：</w:t>
      </w:r>
      <w:r>
        <w:rPr>
          <w:b/>
          <w:bCs/>
        </w:rPr>
        <w:t>查看详情、修改、删除</w:t>
      </w:r>
    </w:p>
    <w:p>
      <w:pPr>
        <w:rPr>
          <w:b/>
          <w:bCs/>
        </w:rPr>
      </w:pPr>
      <w:r>
        <w:drawing>
          <wp:inline distT="0" distB="0" distL="114300" distR="114300">
            <wp:extent cx="6640195" cy="2159635"/>
            <wp:effectExtent l="0" t="0" r="4445" b="444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职能分配：给管理人员分配职能权限</w:t>
      </w:r>
    </w:p>
    <w:p>
      <w:r>
        <w:drawing>
          <wp:inline distT="0" distB="0" distL="114300" distR="114300">
            <wp:extent cx="4852035" cy="2777490"/>
            <wp:effectExtent l="0" t="0" r="9525" b="1143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小区管理：增加、</w:t>
      </w:r>
      <w:r>
        <w:rPr>
          <w:b/>
          <w:bCs/>
        </w:rPr>
        <w:t>查看、修改、删除</w:t>
      </w:r>
    </w:p>
    <w:p>
      <w:r>
        <w:drawing>
          <wp:inline distT="0" distB="0" distL="114300" distR="114300">
            <wp:extent cx="6576060" cy="1424940"/>
            <wp:effectExtent l="0" t="0" r="7620" b="762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---------------------------------------</w:t>
      </w:r>
    </w:p>
    <w:p>
      <w:pPr>
        <w:jc w:val="left"/>
      </w:pPr>
      <w:r>
        <w:drawing>
          <wp:inline distT="0" distB="0" distL="114300" distR="114300">
            <wp:extent cx="4222115" cy="2654300"/>
            <wp:effectExtent l="0" t="0" r="14605" b="1270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  <w:b/>
          <w:bCs/>
        </w:rPr>
        <w:t>房屋及车库管理：增加、</w:t>
      </w:r>
      <w:r>
        <w:rPr>
          <w:b/>
          <w:bCs/>
        </w:rPr>
        <w:t>查看、修改、删除</w:t>
      </w:r>
    </w:p>
    <w:p>
      <w:r>
        <w:drawing>
          <wp:inline distT="0" distB="0" distL="114300" distR="114300">
            <wp:extent cx="6644005" cy="1950085"/>
            <wp:effectExtent l="0" t="0" r="635" b="635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十二、</w:t>
      </w:r>
      <w:r>
        <w:rPr>
          <w:rFonts w:hint="eastAsia"/>
          <w:b/>
          <w:bCs/>
          <w:lang w:eastAsia="zh-CN"/>
        </w:rPr>
        <w:t>巡检</w:t>
      </w:r>
      <w:r>
        <w:rPr>
          <w:rFonts w:hint="eastAsia"/>
          <w:b/>
          <w:bCs/>
        </w:rPr>
        <w:t>管理：增加、</w:t>
      </w:r>
      <w:r>
        <w:rPr>
          <w:b/>
          <w:bCs/>
        </w:rPr>
        <w:t>查看、修改、删除</w:t>
      </w:r>
    </w:p>
    <w:p>
      <w:r>
        <w:drawing>
          <wp:inline distT="0" distB="0" distL="114300" distR="114300">
            <wp:extent cx="6186805" cy="1850390"/>
            <wp:effectExtent l="0" t="0" r="635" b="889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44770" cy="2479675"/>
            <wp:effectExtent l="0" t="0" r="6350" b="444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查看</w:t>
      </w:r>
      <w:r>
        <w:rPr>
          <w:rFonts w:hint="eastAsia"/>
          <w:b/>
          <w:bCs/>
          <w:lang w:eastAsia="zh-CN"/>
        </w:rPr>
        <w:t>巡检</w:t>
      </w:r>
      <w:r>
        <w:rPr>
          <w:rFonts w:hint="eastAsia"/>
          <w:b/>
          <w:bCs/>
        </w:rPr>
        <w:t>打卡记录</w:t>
      </w:r>
    </w:p>
    <w:p>
      <w:r>
        <w:drawing>
          <wp:inline distT="0" distB="0" distL="114300" distR="114300">
            <wp:extent cx="5285740" cy="1491615"/>
            <wp:effectExtent l="0" t="0" r="2540" b="190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-----------------------------------</w:t>
      </w:r>
    </w:p>
    <w:p>
      <w:r>
        <w:drawing>
          <wp:inline distT="0" distB="0" distL="114300" distR="114300">
            <wp:extent cx="6640195" cy="1499870"/>
            <wp:effectExtent l="0" t="0" r="4445" b="889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20745" cy="2959100"/>
            <wp:effectExtent l="0" t="0" r="8255" b="12700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十三、数据管理：更新、查看</w:t>
      </w:r>
    </w:p>
    <w:p>
      <w:r>
        <w:t>用途：物业楼号、车库更新相关记录后，在此更新基本信息。</w:t>
      </w:r>
    </w:p>
    <w:p>
      <w:r>
        <w:tab/>
      </w:r>
      <w:r>
        <w:t xml:space="preserve">  此信息用于业主注册和增加绑定房号、车库时选择使用</w:t>
      </w:r>
    </w:p>
    <w:p>
      <w:r>
        <w:drawing>
          <wp:inline distT="0" distB="0" distL="114300" distR="114300">
            <wp:extent cx="5059680" cy="2887980"/>
            <wp:effectExtent l="0" t="0" r="0" b="762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通知公告管理：增加、修改、查看、删除</w:t>
      </w:r>
    </w:p>
    <w:p>
      <w:r>
        <w:drawing>
          <wp:inline distT="0" distB="0" distL="114300" distR="114300">
            <wp:extent cx="6643370" cy="1823720"/>
            <wp:effectExtent l="0" t="0" r="1270" b="508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------------------------------------------</w:t>
      </w:r>
    </w:p>
    <w:p>
      <w:r>
        <w:drawing>
          <wp:inline distT="0" distB="0" distL="114300" distR="114300">
            <wp:extent cx="5805170" cy="2978785"/>
            <wp:effectExtent l="0" t="0" r="1270" b="825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问卷调查管理：增加、修改、查看、删除</w:t>
      </w:r>
    </w:p>
    <w:p>
      <w:pPr>
        <w:jc w:val="left"/>
        <w:rPr>
          <w:b/>
          <w:bCs/>
        </w:rPr>
      </w:pPr>
      <w:r>
        <w:drawing>
          <wp:inline distT="0" distB="0" distL="114300" distR="114300">
            <wp:extent cx="6644640" cy="2364740"/>
            <wp:effectExtent l="0" t="0" r="0" b="1270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4005" cy="2217420"/>
            <wp:effectExtent l="0" t="0" r="635" b="762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设定调查问卷内容</w:t>
      </w:r>
    </w:p>
    <w:p>
      <w:pPr>
        <w:rPr>
          <w:rFonts w:hint="eastAsia"/>
          <w:b/>
          <w:bCs/>
        </w:rPr>
      </w:pPr>
      <w:r>
        <w:drawing>
          <wp:inline distT="0" distB="0" distL="114300" distR="114300">
            <wp:extent cx="6642735" cy="2206625"/>
            <wp:effectExtent l="0" t="0" r="1905" b="317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设定答案及类型</w:t>
      </w:r>
    </w:p>
    <w:p>
      <w:r>
        <w:drawing>
          <wp:inline distT="0" distB="0" distL="114300" distR="114300">
            <wp:extent cx="6640830" cy="3067050"/>
            <wp:effectExtent l="0" t="0" r="3810" b="1143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  <w:bCs/>
        </w:rPr>
      </w:pPr>
      <w:r>
        <w:rPr>
          <w:rFonts w:hint="eastAsia"/>
          <w:b/>
          <w:bCs/>
        </w:rPr>
        <w:t>物业费的查询、修改、缴纳</w:t>
      </w:r>
    </w:p>
    <w:p>
      <w:pPr>
        <w:numPr>
          <w:ilvl w:val="0"/>
          <w:numId w:val="4"/>
        </w:numPr>
      </w:pPr>
      <w:r>
        <w:rPr>
          <w:rFonts w:hint="eastAsia"/>
        </w:rPr>
        <w:t>按预定时间计划，给欠费业主发送缴费提醒通知（爱得管理），业主线上缴费，具体请看前端说明。</w:t>
      </w:r>
    </w:p>
    <w:p>
      <w:r>
        <w:rPr>
          <w:rFonts w:hint="eastAsia"/>
        </w:rPr>
        <w:t>2、个别业主来到物业，进行线下缴费，首先查询到未交费的房屋号</w:t>
      </w:r>
    </w:p>
    <w:p>
      <w:pPr>
        <w:rPr>
          <w:rFonts w:hint="eastAsia"/>
        </w:rPr>
      </w:pPr>
      <w:r>
        <w:drawing>
          <wp:inline distT="0" distB="0" distL="114300" distR="114300">
            <wp:extent cx="6643370" cy="1623695"/>
            <wp:effectExtent l="0" t="0" r="1270" b="698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3、业主线下缴费后，按提示将“是否支付”改为“已支付”，并选择“线下支付”，备注标明本次线下缴费人的姓名、电话号码。</w:t>
      </w:r>
    </w:p>
    <w:p>
      <w:r>
        <w:drawing>
          <wp:inline distT="0" distB="0" distL="114300" distR="114300">
            <wp:extent cx="6149340" cy="2848610"/>
            <wp:effectExtent l="0" t="0" r="3810" b="88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4、线下缴费完成后，使用查询功能核实支付状态是否修改，防止遗漏。</w:t>
      </w:r>
    </w:p>
    <w:p>
      <w:pPr>
        <w:rPr>
          <w:rFonts w:hint="eastAsia"/>
        </w:rPr>
      </w:pPr>
      <w:r>
        <w:drawing>
          <wp:inline distT="0" distB="0" distL="114300" distR="114300">
            <wp:extent cx="6643370" cy="1564640"/>
            <wp:effectExtent l="0" t="0" r="1270" b="5080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数据统计：物业费、车位费的统计查询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785360" cy="2026920"/>
            <wp:effectExtent l="0" t="0" r="0" b="0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0195" cy="3568700"/>
            <wp:effectExtent l="0" t="0" r="4445" b="12700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3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物业费的价格设定（房屋物业费的单价设定）</w:t>
      </w:r>
    </w:p>
    <w:p>
      <w:pPr>
        <w:rPr>
          <w:bCs/>
          <w:szCs w:val="21"/>
        </w:rPr>
      </w:pPr>
      <w:r>
        <w:rPr>
          <w:rFonts w:hint="eastAsia"/>
          <w:bCs/>
          <w:szCs w:val="21"/>
        </w:rPr>
        <w:t>（1）选择价格管理功能，点击添加物业费调价</w:t>
      </w:r>
    </w:p>
    <w:p>
      <w:pPr>
        <w:rPr>
          <w:rFonts w:hint="eastAsia"/>
        </w:rPr>
      </w:pPr>
      <w:r>
        <w:drawing>
          <wp:inline distT="0" distB="0" distL="114300" distR="114300">
            <wp:extent cx="6642100" cy="2696845"/>
            <wp:effectExtent l="0" t="0" r="2540" b="635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Cs/>
          <w:szCs w:val="21"/>
        </w:rPr>
        <w:t>（2）设定房型，填入最新价格及调整时间（新价格启用时间）</w:t>
      </w:r>
    </w:p>
    <w:p>
      <w:pPr>
        <w:rPr>
          <w:rFonts w:hint="eastAsia"/>
        </w:rPr>
      </w:pPr>
      <w:r>
        <w:drawing>
          <wp:inline distT="0" distB="0" distL="114300" distR="114300">
            <wp:extent cx="3573780" cy="2788920"/>
            <wp:effectExtent l="0" t="0" r="7620" b="0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Cs/>
          <w:szCs w:val="21"/>
        </w:rPr>
        <w:t>（3）房屋自定义价格设定：“房屋管理”，修改物业费价格，并选择“是”</w:t>
      </w:r>
    </w:p>
    <w:p>
      <w:r>
        <w:drawing>
          <wp:inline distT="0" distB="0" distL="114300" distR="114300">
            <wp:extent cx="6134100" cy="2194560"/>
            <wp:effectExtent l="0" t="0" r="7620" b="0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jc w:val="both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管理员操作记录</w:t>
      </w:r>
    </w:p>
    <w:p>
      <w:pPr>
        <w:numPr>
          <w:ilvl w:val="0"/>
          <w:numId w:val="6"/>
        </w:numPr>
        <w:jc w:val="left"/>
      </w:pPr>
      <w:r>
        <w:rPr>
          <w:rFonts w:hint="eastAsia"/>
          <w:bCs/>
          <w:szCs w:val="21"/>
          <w:lang w:val="en-US" w:eastAsia="zh-CN"/>
        </w:rPr>
        <w:t>记录保存了管理员在后台改变状态（修改）的所有操作数据</w:t>
      </w:r>
      <w:r>
        <w:drawing>
          <wp:inline distT="0" distB="0" distL="114300" distR="114300">
            <wp:extent cx="6096000" cy="2659380"/>
            <wp:effectExtent l="0" t="0" r="0" b="7620"/>
            <wp:docPr id="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jc w:val="left"/>
      </w:pPr>
      <w:r>
        <w:rPr>
          <w:rFonts w:hint="eastAsia"/>
          <w:bCs/>
          <w:szCs w:val="21"/>
          <w:lang w:val="en-US" w:eastAsia="zh-CN"/>
        </w:rPr>
        <w:t>可按姓名、操作类型、日期进行筛选，及查看详细操作内容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47435" cy="2665730"/>
            <wp:effectExtent l="0" t="0" r="9525" b="12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房屋管理+车位管理：可查询、查看，业主更名、减免等上传资料的记录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644005" cy="2088515"/>
            <wp:effectExtent l="0" t="0" r="635" b="14605"/>
            <wp:docPr id="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审计查询</w:t>
      </w:r>
    </w:p>
    <w:p>
      <w:pPr>
        <w:numPr>
          <w:ilvl w:val="0"/>
          <w:numId w:val="7"/>
        </w:numPr>
        <w:ind w:leftChars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查询：按条件选择</w:t>
      </w:r>
      <w:r>
        <w:rPr>
          <w:rFonts w:hint="eastAsia" w:ascii="微软雅黑" w:hAnsi="微软雅黑" w:eastAsia="微软雅黑" w:cs="微软雅黑"/>
          <w:sz w:val="21"/>
          <w:szCs w:val="21"/>
        </w:rPr>
        <w:t>可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筛选，</w:t>
      </w:r>
      <w:r>
        <w:rPr>
          <w:rFonts w:hint="eastAsia" w:ascii="微软雅黑" w:hAnsi="微软雅黑" w:eastAsia="微软雅黑" w:cs="微软雅黑"/>
          <w:sz w:val="21"/>
          <w:szCs w:val="21"/>
        </w:rPr>
        <w:t>查询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6637020" cy="1965960"/>
            <wp:effectExtent l="0" t="0" r="7620" b="0"/>
            <wp:docPr id="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审计：所有房屋、车位资料变更及减免，上传的变更材料（照片、文档）</w:t>
      </w:r>
    </w:p>
    <w:p>
      <w:pPr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lang w:val="en-US" w:eastAsia="zh-CN"/>
        </w:rPr>
      </w:pPr>
      <w:r>
        <w:drawing>
          <wp:inline distT="0" distB="0" distL="114300" distR="114300">
            <wp:extent cx="6644640" cy="2217420"/>
            <wp:effectExtent l="0" t="0" r="0" b="7620"/>
            <wp:docPr id="6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ascii="黑体" w:eastAsia="黑体"/>
        <w:color w:val="FF0000"/>
        <w:sz w:val="30"/>
        <w:szCs w:val="30"/>
      </w:rPr>
    </w:pPr>
    <w:r>
      <w:pict>
        <v:shape id="_x0000_i1025" o:spt="75" type="#_x0000_t75" style="height:36pt;width:160.5pt;" filled="f" o:preferrelative="t" stroked="f" coordsize="21600,21600">
          <v:path/>
          <v:fill on="f" focussize="0,0"/>
          <v:stroke on="f" joinstyle="miter"/>
          <v:imagedata r:id="rId1" o:title="logos"/>
          <o:lock v:ext="edit" aspectratio="t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C1E855"/>
    <w:multiLevelType w:val="singleLevel"/>
    <w:tmpl w:val="B5C1E855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E83266BD"/>
    <w:multiLevelType w:val="singleLevel"/>
    <w:tmpl w:val="E83266B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270869"/>
    <w:multiLevelType w:val="singleLevel"/>
    <w:tmpl w:val="00270869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5F89975"/>
    <w:multiLevelType w:val="singleLevel"/>
    <w:tmpl w:val="05F89975"/>
    <w:lvl w:ilvl="0" w:tentative="0">
      <w:start w:val="14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79388E8"/>
    <w:multiLevelType w:val="singleLevel"/>
    <w:tmpl w:val="479388E8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70C53D93"/>
    <w:multiLevelType w:val="singleLevel"/>
    <w:tmpl w:val="70C53D93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4181F86"/>
    <w:multiLevelType w:val="singleLevel"/>
    <w:tmpl w:val="74181F8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F00D7"/>
    <w:rsid w:val="000424DD"/>
    <w:rsid w:val="00081B4C"/>
    <w:rsid w:val="000D2031"/>
    <w:rsid w:val="000F24CB"/>
    <w:rsid w:val="001F00D7"/>
    <w:rsid w:val="00286BF8"/>
    <w:rsid w:val="003A20F6"/>
    <w:rsid w:val="003B0374"/>
    <w:rsid w:val="00466D0B"/>
    <w:rsid w:val="004B3667"/>
    <w:rsid w:val="005D085B"/>
    <w:rsid w:val="00706D37"/>
    <w:rsid w:val="00742BF3"/>
    <w:rsid w:val="0076316A"/>
    <w:rsid w:val="00784614"/>
    <w:rsid w:val="007B3381"/>
    <w:rsid w:val="00856D69"/>
    <w:rsid w:val="00890789"/>
    <w:rsid w:val="00915A7C"/>
    <w:rsid w:val="009208DD"/>
    <w:rsid w:val="00981E53"/>
    <w:rsid w:val="00995FA5"/>
    <w:rsid w:val="00A13B60"/>
    <w:rsid w:val="00A35ABF"/>
    <w:rsid w:val="00A46A82"/>
    <w:rsid w:val="00A6091D"/>
    <w:rsid w:val="00A82E4D"/>
    <w:rsid w:val="00B701B4"/>
    <w:rsid w:val="00B97E51"/>
    <w:rsid w:val="00BB1E9A"/>
    <w:rsid w:val="00BC4B46"/>
    <w:rsid w:val="00C15DAF"/>
    <w:rsid w:val="00D401E1"/>
    <w:rsid w:val="00D65108"/>
    <w:rsid w:val="00DC2C44"/>
    <w:rsid w:val="00E6617B"/>
    <w:rsid w:val="00F100D9"/>
    <w:rsid w:val="00FD24AB"/>
    <w:rsid w:val="00FF4BAE"/>
    <w:rsid w:val="033F00A3"/>
    <w:rsid w:val="08CC1E8C"/>
    <w:rsid w:val="0CF32C9C"/>
    <w:rsid w:val="0E36663E"/>
    <w:rsid w:val="146B1E8F"/>
    <w:rsid w:val="15055D1E"/>
    <w:rsid w:val="1AE30D9C"/>
    <w:rsid w:val="1CE622E4"/>
    <w:rsid w:val="1E9278A4"/>
    <w:rsid w:val="25404915"/>
    <w:rsid w:val="2B593B41"/>
    <w:rsid w:val="2C014555"/>
    <w:rsid w:val="359B7384"/>
    <w:rsid w:val="36BC6A37"/>
    <w:rsid w:val="393641FE"/>
    <w:rsid w:val="39DA3B18"/>
    <w:rsid w:val="3A5D62BD"/>
    <w:rsid w:val="3B2361D8"/>
    <w:rsid w:val="41084A71"/>
    <w:rsid w:val="42682B9B"/>
    <w:rsid w:val="432E2643"/>
    <w:rsid w:val="497E3503"/>
    <w:rsid w:val="49B96127"/>
    <w:rsid w:val="4ADF66FE"/>
    <w:rsid w:val="4C62050C"/>
    <w:rsid w:val="4DFF0681"/>
    <w:rsid w:val="4ED56971"/>
    <w:rsid w:val="4F745D5D"/>
    <w:rsid w:val="509F3101"/>
    <w:rsid w:val="57983DA2"/>
    <w:rsid w:val="579F1357"/>
    <w:rsid w:val="58783EF5"/>
    <w:rsid w:val="5BF02A72"/>
    <w:rsid w:val="65C957EB"/>
    <w:rsid w:val="66510E7D"/>
    <w:rsid w:val="66F8783F"/>
    <w:rsid w:val="67A93240"/>
    <w:rsid w:val="689977C7"/>
    <w:rsid w:val="71AA596B"/>
    <w:rsid w:val="722E1FBD"/>
    <w:rsid w:val="726C0DFF"/>
    <w:rsid w:val="73725B6C"/>
    <w:rsid w:val="7CB6133A"/>
    <w:rsid w:val="7E3E79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1">
    <w:name w:val="标题 Char"/>
    <w:basedOn w:val="8"/>
    <w:link w:val="6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副标题 Char"/>
    <w:basedOn w:val="8"/>
    <w:link w:val="5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4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5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6">
    <w:name w:val="批注框文本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theme" Target="theme/theme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Windows 10</Company>
  <Pages>11</Pages>
  <Words>167</Words>
  <Characters>953</Characters>
  <Lines>7</Lines>
  <Paragraphs>2</Paragraphs>
  <TotalTime>3</TotalTime>
  <ScaleCrop>false</ScaleCrop>
  <LinksUpToDate>false</LinksUpToDate>
  <CharactersWithSpaces>1118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2020-10-13T10:01:00Z</dcterms:created>
  <dc:creator>han youjun</dc:creator>
  <cp:lastModifiedBy>Administrator</cp:lastModifiedBy>
  <cp:lastPrinted>2020-06-24T06:35:00Z</cp:lastPrinted>
  <dcterms:modified xsi:type="dcterms:W3CDTF">2021-04-14T15:02:28Z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97F2784C4D294CFE96B83610E6183292</vt:lpwstr>
  </property>
</Properties>
</file>